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32EEF" w14:textId="77777777" w:rsidR="003A6E75" w:rsidRDefault="00000000">
      <w:pPr>
        <w:widowControl w:val="0"/>
        <w:pBdr>
          <w:top w:val="nil"/>
          <w:left w:val="nil"/>
          <w:bottom w:val="nil"/>
          <w:right w:val="nil"/>
          <w:between w:val="nil"/>
        </w:pBdr>
        <w:tabs>
          <w:tab w:val="right" w:pos="9356"/>
          <w:tab w:val="right" w:pos="9781"/>
        </w:tabs>
        <w:ind w:right="-58"/>
        <w:jc w:val="both"/>
        <w:rPr>
          <w:rFonts w:ascii="Arial" w:eastAsia="Arial" w:hAnsi="Arial" w:cs="Arial"/>
          <w:b/>
          <w:color w:val="000000"/>
        </w:rPr>
      </w:pPr>
      <w:r>
        <w:rPr>
          <w:rFonts w:ascii="Arial" w:eastAsia="Arial" w:hAnsi="Arial" w:cs="Arial"/>
          <w:b/>
          <w:color w:val="000000"/>
        </w:rPr>
        <w:t>3GPP TSG RAN Meeting #99</w:t>
      </w:r>
      <w:r>
        <w:rPr>
          <w:rFonts w:ascii="Arial" w:eastAsia="Arial" w:hAnsi="Arial" w:cs="Arial"/>
          <w:b/>
          <w:color w:val="000000"/>
        </w:rPr>
        <w:tab/>
        <w:t>RP-230270</w:t>
      </w:r>
    </w:p>
    <w:p w14:paraId="0BAC8695" w14:textId="77777777" w:rsidR="003A6E75" w:rsidRDefault="00000000">
      <w:pPr>
        <w:widowControl w:val="0"/>
        <w:pBdr>
          <w:top w:val="nil"/>
          <w:left w:val="nil"/>
          <w:bottom w:val="nil"/>
          <w:right w:val="nil"/>
          <w:between w:val="nil"/>
        </w:pBdr>
        <w:tabs>
          <w:tab w:val="center" w:pos="4536"/>
          <w:tab w:val="right" w:pos="8280"/>
          <w:tab w:val="right" w:pos="9781"/>
        </w:tabs>
        <w:ind w:right="-58"/>
        <w:jc w:val="both"/>
        <w:rPr>
          <w:rFonts w:ascii="Arial" w:eastAsia="Arial" w:hAnsi="Arial" w:cs="Arial"/>
          <w:b/>
          <w:color w:val="000000"/>
        </w:rPr>
      </w:pPr>
      <w:r>
        <w:rPr>
          <w:rFonts w:ascii="Arial" w:eastAsia="Arial" w:hAnsi="Arial" w:cs="Arial"/>
          <w:b/>
          <w:color w:val="000000"/>
        </w:rPr>
        <w:t>Rotterdam, Netherlands, March 20</w:t>
      </w:r>
      <w:r>
        <w:rPr>
          <w:rFonts w:ascii="Arial" w:eastAsia="Arial" w:hAnsi="Arial" w:cs="Arial"/>
          <w:b/>
          <w:color w:val="000000"/>
          <w:vertAlign w:val="superscript"/>
        </w:rPr>
        <w:t>th</w:t>
      </w:r>
      <w:r>
        <w:rPr>
          <w:rFonts w:ascii="Arial" w:eastAsia="Arial" w:hAnsi="Arial" w:cs="Arial"/>
          <w:b/>
          <w:color w:val="000000"/>
        </w:rPr>
        <w:t xml:space="preserve"> – 23</w:t>
      </w:r>
      <w:r>
        <w:rPr>
          <w:rFonts w:ascii="Arial" w:eastAsia="Arial" w:hAnsi="Arial" w:cs="Arial"/>
          <w:b/>
          <w:color w:val="000000"/>
          <w:vertAlign w:val="superscript"/>
        </w:rPr>
        <w:t>rd</w:t>
      </w:r>
      <w:r>
        <w:rPr>
          <w:rFonts w:ascii="Arial" w:eastAsia="Arial" w:hAnsi="Arial" w:cs="Arial"/>
          <w:b/>
          <w:color w:val="000000"/>
        </w:rPr>
        <w:t>, 2023</w:t>
      </w:r>
    </w:p>
    <w:p w14:paraId="74B3A9FD" w14:textId="77777777" w:rsidR="003A6E75" w:rsidRDefault="003A6E75">
      <w:pPr>
        <w:spacing w:after="180"/>
        <w:jc w:val="both"/>
        <w:rPr>
          <w:b/>
        </w:rPr>
      </w:pPr>
    </w:p>
    <w:p w14:paraId="2B8D4107" w14:textId="77777777" w:rsidR="003A6E75" w:rsidRDefault="00000000">
      <w:pPr>
        <w:spacing w:line="276" w:lineRule="auto"/>
        <w:rPr>
          <w:b/>
        </w:rPr>
      </w:pPr>
      <w:r>
        <w:rPr>
          <w:b/>
        </w:rPr>
        <w:t xml:space="preserve">Agenda item:    </w:t>
      </w:r>
      <w:r>
        <w:rPr>
          <w:b/>
        </w:rPr>
        <w:tab/>
        <w:t>9.3.2.9</w:t>
      </w:r>
    </w:p>
    <w:p w14:paraId="65047598" w14:textId="77777777" w:rsidR="003A6E75" w:rsidRDefault="00000000">
      <w:pPr>
        <w:spacing w:line="276" w:lineRule="auto"/>
        <w:rPr>
          <w:b/>
        </w:rPr>
      </w:pPr>
      <w:r>
        <w:rPr>
          <w:b/>
        </w:rPr>
        <w:t xml:space="preserve">Source:              </w:t>
      </w:r>
      <w:r>
        <w:rPr>
          <w:b/>
        </w:rPr>
        <w:tab/>
        <w:t>Meta USA</w:t>
      </w:r>
    </w:p>
    <w:p w14:paraId="77203011" w14:textId="77777777" w:rsidR="003A6E75" w:rsidRDefault="00000000">
      <w:pPr>
        <w:spacing w:line="276" w:lineRule="auto"/>
        <w:rPr>
          <w:b/>
        </w:rPr>
      </w:pPr>
      <w:r>
        <w:rPr>
          <w:b/>
        </w:rPr>
        <w:t xml:space="preserve">Title:                   </w:t>
      </w:r>
      <w:r>
        <w:rPr>
          <w:b/>
        </w:rPr>
        <w:tab/>
        <w:t>Views on Rel. 18 XR Enhancements for NR</w:t>
      </w:r>
    </w:p>
    <w:p w14:paraId="28E0F2F0" w14:textId="77777777" w:rsidR="003A6E75" w:rsidRDefault="00000000">
      <w:pPr>
        <w:spacing w:line="276" w:lineRule="auto"/>
        <w:rPr>
          <w:b/>
        </w:rPr>
      </w:pPr>
      <w:r>
        <w:rPr>
          <w:b/>
        </w:rPr>
        <w:t xml:space="preserve">Document for:  </w:t>
      </w:r>
      <w:r>
        <w:rPr>
          <w:b/>
        </w:rPr>
        <w:tab/>
        <w:t>Decision</w:t>
      </w:r>
    </w:p>
    <w:p w14:paraId="58D4B747" w14:textId="77777777" w:rsidR="003A6E75" w:rsidRDefault="00000000">
      <w:pPr>
        <w:rPr>
          <w:b/>
        </w:rPr>
      </w:pPr>
      <w:r>
        <w:rPr>
          <w:b/>
        </w:rPr>
        <w:t>__________________________________________________________________</w:t>
      </w:r>
    </w:p>
    <w:p w14:paraId="738813AE" w14:textId="77777777" w:rsidR="003A6E75" w:rsidRDefault="00000000">
      <w:pPr>
        <w:pStyle w:val="Heading1"/>
        <w:numPr>
          <w:ilvl w:val="0"/>
          <w:numId w:val="3"/>
        </w:numPr>
        <w:spacing w:before="0"/>
      </w:pPr>
      <w:bookmarkStart w:id="0" w:name="_heading=h.gjdgxs" w:colFirst="0" w:colLast="0"/>
      <w:bookmarkEnd w:id="0"/>
      <w:r>
        <w:t>Introduction</w:t>
      </w:r>
    </w:p>
    <w:p w14:paraId="4667E1D6" w14:textId="6ABCFF35" w:rsidR="003A6E75" w:rsidRDefault="00000000">
      <w:r>
        <w:t xml:space="preserve">In recent years, XR has gathered substantial interests in the wireless communication ecosystem including the 3GPP community. Specifically, the Rel-17 XR over NR evaluation study item was completed in Q4 2021, and the outcome has been captured in 38.838. The Rel-18 RAN </w:t>
      </w:r>
      <w:proofErr w:type="gramStart"/>
      <w:r>
        <w:t>WI  XR</w:t>
      </w:r>
      <w:proofErr w:type="gramEnd"/>
      <w:r>
        <w:t xml:space="preserve"> Enhancement over NR was approved in RAN#98.  In this paper, we provide our views on the objectives and scopes of Rel. 18 XR Enhancements over NR, specifically on the two most critical factors: power consumption and 2RX support.</w:t>
      </w:r>
    </w:p>
    <w:p w14:paraId="1A4FB0AD" w14:textId="77777777" w:rsidR="003A6E75" w:rsidRDefault="00000000">
      <w:pPr>
        <w:pStyle w:val="Heading1"/>
        <w:numPr>
          <w:ilvl w:val="0"/>
          <w:numId w:val="4"/>
        </w:numPr>
        <w:spacing w:after="0"/>
      </w:pPr>
      <w:bookmarkStart w:id="1" w:name="_heading=h.30j0zll" w:colFirst="0" w:colLast="0"/>
      <w:bookmarkEnd w:id="1"/>
      <w:r>
        <w:t>Discussion</w:t>
      </w:r>
    </w:p>
    <w:p w14:paraId="7E399FD5" w14:textId="77777777" w:rsidR="003A6E75" w:rsidRDefault="003A6E75"/>
    <w:p w14:paraId="03B5970F" w14:textId="2449C823" w:rsidR="003A6E75" w:rsidRDefault="00000000">
      <w:r>
        <w:t>All XR or a broader sense Metaverse is generally considered as application services in the application layer.  The stringent requirements including both low latency and high data rate and all-day wearables require an end-to-end optimization including, e.g.</w:t>
      </w:r>
      <w:r w:rsidR="002B5E93">
        <w:t>,</w:t>
      </w:r>
      <w:r>
        <w:t xml:space="preserve"> MEC to support split rendering and offload the heavy computation, lightweight wearable devices, such as AR glasses, to support all-day wearing. In fact, it has been proven to be crucial for the standard support for different XR devices form factors as show in SA4 TR 26.928 [1,2]</w:t>
      </w:r>
    </w:p>
    <w:p w14:paraId="6870C47B" w14:textId="77777777" w:rsidR="003A6E75" w:rsidRDefault="003A6E75"/>
    <w:p w14:paraId="492E9F10" w14:textId="77777777" w:rsidR="003A6E75" w:rsidRDefault="00000000">
      <w:r>
        <w:t xml:space="preserve">For example, for AR Glasses, design constraints are significantly more important. </w:t>
      </w:r>
      <w:proofErr w:type="gramStart"/>
      <w:r>
        <w:t>In particular, while</w:t>
      </w:r>
      <w:proofErr w:type="gramEnd"/>
      <w:r>
        <w:t xml:space="preserve"> wireless AR glasses are commercially compelling, design constraints apply in terms of sleekness, weight and power.  </w:t>
      </w:r>
    </w:p>
    <w:p w14:paraId="1C9916BC" w14:textId="77777777" w:rsidR="003A6E75" w:rsidRDefault="003A6E75"/>
    <w:p w14:paraId="3809EFAE" w14:textId="77777777" w:rsidR="003A6E75" w:rsidRDefault="00000000">
      <w:pPr>
        <w:jc w:val="center"/>
      </w:pPr>
      <w:r>
        <w:rPr>
          <w:noProof/>
        </w:rPr>
        <w:drawing>
          <wp:inline distT="114300" distB="114300" distL="114300" distR="114300" wp14:anchorId="346F821F" wp14:editId="34DF9E5A">
            <wp:extent cx="4052888" cy="2315936"/>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052888" cy="2315936"/>
                    </a:xfrm>
                    <a:prstGeom prst="rect">
                      <a:avLst/>
                    </a:prstGeom>
                    <a:ln/>
                  </pic:spPr>
                </pic:pic>
              </a:graphicData>
            </a:graphic>
          </wp:inline>
        </w:drawing>
      </w:r>
    </w:p>
    <w:p w14:paraId="703CC7B1" w14:textId="77777777" w:rsidR="003A6E75" w:rsidRDefault="00000000">
      <w:pPr>
        <w:jc w:val="center"/>
        <w:rPr>
          <w:sz w:val="22"/>
          <w:szCs w:val="22"/>
        </w:rPr>
      </w:pPr>
      <w:r>
        <w:rPr>
          <w:sz w:val="22"/>
          <w:szCs w:val="22"/>
        </w:rPr>
        <w:t>TR 26.928: Figure 4.8-1: XR Form Factors</w:t>
      </w:r>
    </w:p>
    <w:p w14:paraId="66C5B734" w14:textId="77777777" w:rsidR="003A6E75" w:rsidRDefault="00000000">
      <w:pPr>
        <w:jc w:val="center"/>
      </w:pPr>
      <w:r>
        <w:lastRenderedPageBreak/>
        <w:t xml:space="preserve">   </w:t>
      </w:r>
    </w:p>
    <w:p w14:paraId="4A1220EE" w14:textId="77777777" w:rsidR="003A6E75" w:rsidRDefault="00000000">
      <w:pPr>
        <w:pStyle w:val="Heading2"/>
        <w:numPr>
          <w:ilvl w:val="1"/>
          <w:numId w:val="4"/>
        </w:numPr>
        <w:ind w:left="990" w:hanging="270"/>
      </w:pPr>
      <w:bookmarkStart w:id="2" w:name="_heading=h.1fob9te" w:colFirst="0" w:colLast="0"/>
      <w:bookmarkEnd w:id="2"/>
      <w:r>
        <w:t>Power Saving</w:t>
      </w:r>
    </w:p>
    <w:p w14:paraId="3486188A" w14:textId="77777777" w:rsidR="003A6E75" w:rsidRDefault="00000000">
      <w:r>
        <w:t xml:space="preserve">In addition to the processing power, communication is another important component to avoid battery consumption and thermal dissipation. We would like to emphasize, due to the challenge for achieving a commercially viable solution for XR wearables, every single technique is important, due to the requirements for all-day wearing, high data rate and yet compact formfactors. </w:t>
      </w:r>
    </w:p>
    <w:p w14:paraId="176823F4" w14:textId="77777777" w:rsidR="003A6E75" w:rsidRDefault="003A6E75"/>
    <w:p w14:paraId="1137F580" w14:textId="77777777" w:rsidR="003A6E75" w:rsidRDefault="00000000">
      <w:pPr>
        <w:rPr>
          <w:b/>
        </w:rPr>
      </w:pPr>
      <w:r>
        <w:rPr>
          <w:b/>
        </w:rPr>
        <w:t xml:space="preserve">Observation 1: Although wireless XR wearable devices, such as AR </w:t>
      </w:r>
      <w:proofErr w:type="gramStart"/>
      <w:r>
        <w:rPr>
          <w:b/>
        </w:rPr>
        <w:t>glasses,  are</w:t>
      </w:r>
      <w:proofErr w:type="gramEnd"/>
      <w:r>
        <w:rPr>
          <w:b/>
        </w:rPr>
        <w:t xml:space="preserve"> commercially compelling,  design constraints apply in terms of sleekness (formfactor), weight and power. </w:t>
      </w:r>
    </w:p>
    <w:p w14:paraId="2AD1E945" w14:textId="77777777" w:rsidR="003A6E75" w:rsidRDefault="003A6E75"/>
    <w:p w14:paraId="51EED7A1" w14:textId="77777777" w:rsidR="003A6E75" w:rsidRDefault="00000000">
      <w:pPr>
        <w:spacing w:after="180"/>
      </w:pPr>
      <w:r>
        <w:t xml:space="preserve">During the study phase </w:t>
      </w:r>
      <w:proofErr w:type="gramStart"/>
      <w:r>
        <w:t>of  RAN</w:t>
      </w:r>
      <w:proofErr w:type="gramEnd"/>
      <w:r>
        <w:t xml:space="preserve">1, </w:t>
      </w:r>
      <w:r>
        <w:rPr>
          <w:b/>
          <w:sz w:val="22"/>
          <w:szCs w:val="22"/>
        </w:rPr>
        <w:t xml:space="preserve"> “PDCCH monitoring resume if UE transmits NACK after PDCCH skipping starts” </w:t>
      </w:r>
      <w:r>
        <w:rPr>
          <w:sz w:val="22"/>
          <w:szCs w:val="22"/>
        </w:rPr>
        <w:t xml:space="preserve"> has support by majority of the companies, </w:t>
      </w:r>
      <w:r>
        <w:t>although RAN1 was not able  reach a consensus at the end. It was also shown during the SI that they offer good power saving and capacity gain for the XR service and come with very little specification impact.</w:t>
      </w:r>
    </w:p>
    <w:p w14:paraId="52D313FA" w14:textId="77777777" w:rsidR="003A6E75" w:rsidRDefault="00000000">
      <w:pPr>
        <w:spacing w:after="180"/>
        <w:rPr>
          <w:b/>
        </w:rPr>
      </w:pPr>
      <w:r>
        <w:rPr>
          <w:b/>
        </w:rPr>
        <w:t>Proposal 1:  support PDCCH monitoring resume if UE transmits NACK after PDCCH skipping starts (RAN1)</w:t>
      </w:r>
    </w:p>
    <w:p w14:paraId="06B24B85" w14:textId="4E799AAE" w:rsidR="003A6E75" w:rsidRDefault="00000000">
      <w:r>
        <w:t xml:space="preserve"> </w:t>
      </w:r>
      <w:proofErr w:type="gramStart"/>
      <w:r>
        <w:t>Separately,  due</w:t>
      </w:r>
      <w:proofErr w:type="gramEnd"/>
      <w:r>
        <w:t xml:space="preserve"> to the periodic nature and low latency requirements of pose traffic, CG configuration is a promising technique for supporting pose transmission. However, when the UE performs a CG transmission, the UE starts the </w:t>
      </w:r>
      <w:proofErr w:type="spellStart"/>
      <w:r>
        <w:rPr>
          <w:i/>
        </w:rPr>
        <w:t>drx</w:t>
      </w:r>
      <w:proofErr w:type="spellEnd"/>
      <w:r>
        <w:rPr>
          <w:i/>
        </w:rPr>
        <w:t>-HARQ-RTT-</w:t>
      </w:r>
      <w:proofErr w:type="spellStart"/>
      <w:r>
        <w:rPr>
          <w:i/>
        </w:rPr>
        <w:t>TimerUL</w:t>
      </w:r>
      <w:proofErr w:type="spellEnd"/>
      <w:r>
        <w:t xml:space="preserve"> associated with the HARQ process, and the UE starts the </w:t>
      </w:r>
      <w:proofErr w:type="spellStart"/>
      <w:r>
        <w:rPr>
          <w:i/>
        </w:rPr>
        <w:t>drx-RetransmissionTimerUL</w:t>
      </w:r>
      <w:proofErr w:type="spellEnd"/>
      <w:r>
        <w:rPr>
          <w:i/>
        </w:rPr>
        <w:t xml:space="preserve"> </w:t>
      </w:r>
      <w:r>
        <w:t xml:space="preserve">when the </w:t>
      </w:r>
      <w:proofErr w:type="spellStart"/>
      <w:r>
        <w:rPr>
          <w:i/>
        </w:rPr>
        <w:t>drx</w:t>
      </w:r>
      <w:proofErr w:type="spellEnd"/>
      <w:r>
        <w:rPr>
          <w:i/>
        </w:rPr>
        <w:t>-HARQ-RTT-</w:t>
      </w:r>
      <w:proofErr w:type="spellStart"/>
      <w:r>
        <w:rPr>
          <w:i/>
        </w:rPr>
        <w:t>TimerUL</w:t>
      </w:r>
      <w:proofErr w:type="spellEnd"/>
      <w:r>
        <w:t xml:space="preserve"> expires. The UE will be in DRX active time when </w:t>
      </w:r>
      <w:proofErr w:type="spellStart"/>
      <w:r>
        <w:rPr>
          <w:i/>
        </w:rPr>
        <w:t>drx-RetransmissionTimerUL</w:t>
      </w:r>
      <w:proofErr w:type="spellEnd"/>
      <w:r>
        <w:t xml:space="preserve"> is running. It is obvious that starting </w:t>
      </w:r>
      <w:proofErr w:type="spellStart"/>
      <w:r>
        <w:rPr>
          <w:i/>
        </w:rPr>
        <w:t>drx-RetransmissionTimerUL</w:t>
      </w:r>
      <w:proofErr w:type="spellEnd"/>
      <w:r>
        <w:rPr>
          <w:i/>
        </w:rPr>
        <w:t xml:space="preserve"> </w:t>
      </w:r>
      <w:r>
        <w:t>frequently will cause much power consumption due to the frequent pose transmission.</w:t>
      </w:r>
    </w:p>
    <w:p w14:paraId="0107DDCD" w14:textId="77777777" w:rsidR="003A6E75" w:rsidRDefault="003A6E75">
      <w:pPr>
        <w:rPr>
          <w:sz w:val="20"/>
          <w:szCs w:val="20"/>
        </w:rPr>
      </w:pPr>
    </w:p>
    <w:p w14:paraId="25D4A298" w14:textId="0EC535D4" w:rsidR="003A6E75" w:rsidRDefault="00000000">
      <w:r>
        <w:t xml:space="preserve">RAN1 has realized this issue during the study phase and has concluded that the technique should be left for RAN2 continuation of the discussion. RAN1’s conclusion is captured as follows: </w:t>
      </w:r>
    </w:p>
    <w:p w14:paraId="696E5FA2" w14:textId="77777777" w:rsidR="003A6E75" w:rsidRDefault="003A6E75"/>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6E75" w14:paraId="0194C813" w14:textId="77777777">
        <w:tc>
          <w:tcPr>
            <w:tcW w:w="9360" w:type="dxa"/>
            <w:shd w:val="clear" w:color="auto" w:fill="auto"/>
            <w:tcMar>
              <w:top w:w="100" w:type="dxa"/>
              <w:left w:w="100" w:type="dxa"/>
              <w:bottom w:w="100" w:type="dxa"/>
              <w:right w:w="100" w:type="dxa"/>
            </w:tcMar>
          </w:tcPr>
          <w:p w14:paraId="4A57BAF5" w14:textId="77777777" w:rsidR="003A6E75" w:rsidRDefault="00000000">
            <w:pPr>
              <w:widowControl w:val="0"/>
              <w:spacing w:after="180"/>
              <w:rPr>
                <w:u w:val="single"/>
              </w:rPr>
            </w:pPr>
            <w:r>
              <w:rPr>
                <w:u w:val="single"/>
              </w:rPr>
              <w:t>Conclusion</w:t>
            </w:r>
          </w:p>
          <w:p w14:paraId="22AC16C8" w14:textId="77777777" w:rsidR="003A6E75" w:rsidRDefault="00000000">
            <w:pPr>
              <w:widowControl w:val="0"/>
              <w:spacing w:after="180"/>
            </w:pPr>
            <w:r>
              <w:t>“Retransmission-less CG for UL pose transmission (Item 3.3-5)” is a RAN2 issue, leave the discussion to RAN2, RAN1 does not further investigate the issue.</w:t>
            </w:r>
          </w:p>
          <w:p w14:paraId="3EF2BEF6" w14:textId="77777777" w:rsidR="003A6E75" w:rsidRDefault="00000000">
            <w:pPr>
              <w:widowControl w:val="0"/>
              <w:pBdr>
                <w:top w:val="nil"/>
                <w:left w:val="nil"/>
                <w:bottom w:val="nil"/>
                <w:right w:val="nil"/>
                <w:between w:val="nil"/>
              </w:pBdr>
            </w:pPr>
            <w:r>
              <w:t>Note: how to capture evaluation results and findings will be separately discussed</w:t>
            </w:r>
          </w:p>
        </w:tc>
      </w:tr>
    </w:tbl>
    <w:p w14:paraId="43CC392C" w14:textId="77777777" w:rsidR="003A6E75" w:rsidRDefault="003A6E75"/>
    <w:p w14:paraId="0CBA36A3" w14:textId="77777777" w:rsidR="003A6E75" w:rsidRDefault="00000000">
      <w:r>
        <w:t>During the RAN2#121, the topic was brought up, although it received wide support, it was concluded to be discussed in RAN#99 on the potential inclusion of the scope into Rel. 19</w:t>
      </w:r>
    </w:p>
    <w:p w14:paraId="5ECECE80" w14:textId="77777777" w:rsidR="003A6E75" w:rsidRDefault="003A6E75"/>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6E75" w14:paraId="7902D831" w14:textId="77777777">
        <w:tc>
          <w:tcPr>
            <w:tcW w:w="9360" w:type="dxa"/>
            <w:shd w:val="clear" w:color="auto" w:fill="auto"/>
            <w:tcMar>
              <w:top w:w="100" w:type="dxa"/>
              <w:left w:w="100" w:type="dxa"/>
              <w:bottom w:w="100" w:type="dxa"/>
              <w:right w:w="100" w:type="dxa"/>
            </w:tcMar>
          </w:tcPr>
          <w:p w14:paraId="3ED4E2AF" w14:textId="77777777" w:rsidR="003A6E75" w:rsidRDefault="00000000">
            <w:pPr>
              <w:widowControl w:val="0"/>
              <w:rPr>
                <w:i/>
                <w:u w:val="single"/>
              </w:rPr>
            </w:pPr>
            <w:r>
              <w:rPr>
                <w:i/>
                <w:u w:val="single"/>
              </w:rPr>
              <w:t>Retransmission-less CG</w:t>
            </w:r>
          </w:p>
          <w:p w14:paraId="080939C8" w14:textId="77777777" w:rsidR="003A6E75" w:rsidRDefault="00000000">
            <w:pPr>
              <w:widowControl w:val="0"/>
              <w:rPr>
                <w:i/>
              </w:rPr>
            </w:pPr>
            <w:r>
              <w:rPr>
                <w:i/>
              </w:rPr>
              <w:t xml:space="preserve">Proposal4: RAN2 should consider </w:t>
            </w:r>
            <w:proofErr w:type="gramStart"/>
            <w:r>
              <w:rPr>
                <w:i/>
              </w:rPr>
              <w:t>to address</w:t>
            </w:r>
            <w:proofErr w:type="gramEnd"/>
            <w:r>
              <w:rPr>
                <w:i/>
              </w:rPr>
              <w:t xml:space="preserve"> the issue of retransmission-less CG for UL pose transmission.</w:t>
            </w:r>
          </w:p>
          <w:p w14:paraId="64FA57D7" w14:textId="77777777" w:rsidR="003A6E75" w:rsidRDefault="00000000">
            <w:pPr>
              <w:widowControl w:val="0"/>
              <w:ind w:left="1980" w:hanging="360"/>
              <w:rPr>
                <w:i/>
              </w:rPr>
            </w:pPr>
            <w:r>
              <w:rPr>
                <w:i/>
              </w:rPr>
              <w:lastRenderedPageBreak/>
              <w:t xml:space="preserve"> </w:t>
            </w:r>
          </w:p>
          <w:p w14:paraId="7308B70F" w14:textId="77777777" w:rsidR="003A6E75" w:rsidRDefault="00000000">
            <w:pPr>
              <w:widowControl w:val="0"/>
              <w:rPr>
                <w:b/>
              </w:rPr>
            </w:pPr>
            <w:r>
              <w:t>Þ</w:t>
            </w:r>
            <w:r>
              <w:tab/>
            </w:r>
            <w:r>
              <w:rPr>
                <w:b/>
              </w:rPr>
              <w:t>Whether the issue of retransmission-less CG for UL pose transmission is addressed in the WI needs to be discussed in RAN</w:t>
            </w:r>
          </w:p>
          <w:p w14:paraId="3063A021" w14:textId="77777777" w:rsidR="003A6E75" w:rsidRDefault="003A6E75">
            <w:pPr>
              <w:widowControl w:val="0"/>
              <w:pBdr>
                <w:top w:val="nil"/>
                <w:left w:val="nil"/>
                <w:bottom w:val="nil"/>
                <w:right w:val="nil"/>
                <w:between w:val="nil"/>
              </w:pBdr>
            </w:pPr>
          </w:p>
        </w:tc>
      </w:tr>
    </w:tbl>
    <w:p w14:paraId="7D2CD791" w14:textId="77777777" w:rsidR="003A6E75" w:rsidRDefault="003A6E75"/>
    <w:p w14:paraId="3C56DAF9" w14:textId="77777777" w:rsidR="003A6E75" w:rsidRDefault="00000000">
      <w:pPr>
        <w:rPr>
          <w:b/>
        </w:rPr>
      </w:pPr>
      <w:r>
        <w:rPr>
          <w:b/>
        </w:rPr>
        <w:t>Proposal 2:  Update the WID to include CG without retransmissions for uplink XR traffic (RAN2)</w:t>
      </w:r>
    </w:p>
    <w:p w14:paraId="6B1B61B0" w14:textId="77777777" w:rsidR="003A6E75" w:rsidRDefault="00000000">
      <w:pPr>
        <w:pStyle w:val="Heading2"/>
        <w:numPr>
          <w:ilvl w:val="1"/>
          <w:numId w:val="4"/>
        </w:numPr>
        <w:ind w:left="990" w:hanging="270"/>
      </w:pPr>
      <w:r>
        <w:t>Views on XR Type Devices</w:t>
      </w:r>
    </w:p>
    <w:p w14:paraId="147F97F9" w14:textId="77777777" w:rsidR="003A6E75" w:rsidRDefault="00000000">
      <w:pPr>
        <w:spacing w:line="276" w:lineRule="auto"/>
        <w:rPr>
          <w:sz w:val="22"/>
          <w:szCs w:val="22"/>
        </w:rPr>
      </w:pPr>
      <w:r>
        <w:rPr>
          <w:sz w:val="22"/>
          <w:szCs w:val="22"/>
        </w:rPr>
        <w:t xml:space="preserve">In recent RAN meetings, there have been several contributions requesting taking the XR device form factor restrictions into consideration for the support of high data rates XR applications [8-12].  In fact, the importance of different form factors in the commercialization has been well identified and adopted in SA4, specifically, in the Study on </w:t>
      </w:r>
      <w:r>
        <w:rPr>
          <w:color w:val="000000"/>
          <w:sz w:val="22"/>
          <w:szCs w:val="22"/>
        </w:rPr>
        <w:t>5G Glass-type AR/MR Devices [2], it is stated</w:t>
      </w:r>
      <w:r>
        <w:rPr>
          <w:sz w:val="22"/>
          <w:szCs w:val="22"/>
        </w:rPr>
        <w:t>:</w:t>
      </w:r>
    </w:p>
    <w:p w14:paraId="7DF5E8D2" w14:textId="77777777" w:rsidR="003A6E75" w:rsidRDefault="003A6E75">
      <w:pPr>
        <w:spacing w:line="276" w:lineRule="auto"/>
        <w:rPr>
          <w:sz w:val="22"/>
          <w:szCs w:val="22"/>
        </w:rPr>
      </w:pPr>
    </w:p>
    <w:tbl>
      <w:tblPr>
        <w:tblStyle w:val="a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3A6E75" w14:paraId="088168C7" w14:textId="77777777">
        <w:tc>
          <w:tcPr>
            <w:tcW w:w="9350" w:type="dxa"/>
          </w:tcPr>
          <w:p w14:paraId="5DF1B76C" w14:textId="77777777" w:rsidR="003A6E75" w:rsidRDefault="00000000">
            <w:pPr>
              <w:rPr>
                <w:sz w:val="22"/>
                <w:szCs w:val="22"/>
              </w:rPr>
            </w:pPr>
            <w:r>
              <w:rPr>
                <w:sz w:val="22"/>
                <w:szCs w:val="22"/>
              </w:rPr>
              <w:t>Based on the findings in clause 8 of TR 26.928, this study follows up on some parts of the conclusions and proposed short term actions:</w:t>
            </w:r>
          </w:p>
          <w:p w14:paraId="1D16A33F" w14:textId="77777777" w:rsidR="003A6E75" w:rsidRDefault="00000000">
            <w:pPr>
              <w:keepLines/>
              <w:numPr>
                <w:ilvl w:val="0"/>
                <w:numId w:val="2"/>
              </w:numPr>
              <w:pBdr>
                <w:top w:val="nil"/>
                <w:left w:val="nil"/>
                <w:bottom w:val="nil"/>
                <w:right w:val="nil"/>
                <w:between w:val="nil"/>
              </w:pBdr>
              <w:spacing w:after="180"/>
            </w:pPr>
            <w:r>
              <w:rPr>
                <w:color w:val="000000"/>
                <w:sz w:val="22"/>
                <w:szCs w:val="22"/>
              </w:rPr>
              <w:t>Develop a flexible XR centric device reference architecture as well as a collection of device requirements and recommendations for XR device classes based on the considerations in clause 7.2 of TR 26.928. Device classes should include VR device for 6DoF streaming and XR online gaming (XR5G-V4), as well as AR devices (XR5G-A1, XR5G-A4 and XR5G-A5).</w:t>
            </w:r>
            <w:r>
              <w:rPr>
                <w:color w:val="000000"/>
                <w:sz w:val="20"/>
                <w:szCs w:val="20"/>
              </w:rPr>
              <w:t xml:space="preserve"> </w:t>
            </w:r>
          </w:p>
        </w:tc>
      </w:tr>
    </w:tbl>
    <w:p w14:paraId="679D594E" w14:textId="77777777" w:rsidR="003A6E75" w:rsidRDefault="003A6E75">
      <w:pPr>
        <w:spacing w:line="276" w:lineRule="auto"/>
        <w:rPr>
          <w:sz w:val="22"/>
          <w:szCs w:val="22"/>
        </w:rPr>
      </w:pPr>
    </w:p>
    <w:p w14:paraId="1A77FC53" w14:textId="77777777" w:rsidR="003A6E75" w:rsidRDefault="00000000">
      <w:pPr>
        <w:spacing w:line="276" w:lineRule="auto"/>
        <w:rPr>
          <w:sz w:val="22"/>
          <w:szCs w:val="22"/>
        </w:rPr>
      </w:pPr>
      <w:r>
        <w:rPr>
          <w:sz w:val="22"/>
          <w:szCs w:val="22"/>
        </w:rPr>
        <w:t xml:space="preserve">Hence, it is widely agreed that some XR wearable devices, such as AR glasses, require special consideration from the standard perspective. In particular, the size and form factor limitation </w:t>
      </w:r>
      <w:proofErr w:type="gramStart"/>
      <w:r>
        <w:rPr>
          <w:sz w:val="22"/>
          <w:szCs w:val="22"/>
        </w:rPr>
        <w:t>makes</w:t>
      </w:r>
      <w:proofErr w:type="gramEnd"/>
      <w:r>
        <w:rPr>
          <w:sz w:val="22"/>
          <w:szCs w:val="22"/>
        </w:rPr>
        <w:t xml:space="preserve"> it not possible to fit 4Rx in some of those devices in FR1 high bands. Also, the SAR requirement is another limiting factor due to the closeness of the wearable AR devices to the human head. </w:t>
      </w:r>
    </w:p>
    <w:p w14:paraId="0817C0B7" w14:textId="77777777" w:rsidR="003A6E75" w:rsidRDefault="003A6E75">
      <w:pPr>
        <w:spacing w:line="276" w:lineRule="auto"/>
        <w:rPr>
          <w:sz w:val="22"/>
          <w:szCs w:val="22"/>
        </w:rPr>
      </w:pPr>
    </w:p>
    <w:p w14:paraId="1248E7AD" w14:textId="77777777" w:rsidR="003A6E75" w:rsidRDefault="00000000">
      <w:pPr>
        <w:spacing w:line="276" w:lineRule="auto"/>
        <w:rPr>
          <w:sz w:val="22"/>
          <w:szCs w:val="22"/>
        </w:rPr>
      </w:pPr>
      <w:r>
        <w:rPr>
          <w:sz w:val="22"/>
          <w:szCs w:val="22"/>
        </w:rPr>
        <w:t xml:space="preserve">While one can argue that currently Rel. 17 </w:t>
      </w:r>
      <w:proofErr w:type="spellStart"/>
      <w:r>
        <w:rPr>
          <w:sz w:val="22"/>
          <w:szCs w:val="22"/>
        </w:rPr>
        <w:t>RedCap</w:t>
      </w:r>
      <w:proofErr w:type="spellEnd"/>
      <w:r>
        <w:rPr>
          <w:sz w:val="22"/>
          <w:szCs w:val="22"/>
        </w:rPr>
        <w:t xml:space="preserve"> already supports up to 2RX, some of the restrictions such as 20MHz bandwidth limitation, makes it unlikely to support high data rates AR applications without further enhancements, such as 100MHz and CA/DC support. For instance, the data rate evaluated for AR DL single stream video traffic can vary from 15 Mbps to 60 Mbps in [13]. With the 20MHz bandwidth limitation, the number of users or that can be supported may be limited, particularly applications providing immersive user experience.</w:t>
      </w:r>
    </w:p>
    <w:p w14:paraId="11EC9E5C" w14:textId="77777777" w:rsidR="003A6E75" w:rsidRDefault="003A6E75">
      <w:pPr>
        <w:spacing w:line="276" w:lineRule="auto"/>
        <w:rPr>
          <w:sz w:val="22"/>
          <w:szCs w:val="22"/>
        </w:rPr>
      </w:pPr>
    </w:p>
    <w:p w14:paraId="3D83DFFA" w14:textId="77777777" w:rsidR="003A6E75" w:rsidRDefault="00000000">
      <w:pPr>
        <w:spacing w:line="276" w:lineRule="auto"/>
        <w:rPr>
          <w:sz w:val="22"/>
          <w:szCs w:val="22"/>
        </w:rPr>
      </w:pPr>
      <w:r>
        <w:rPr>
          <w:sz w:val="22"/>
          <w:szCs w:val="22"/>
        </w:rPr>
        <w:t xml:space="preserve">Regarding the identification and prevention of </w:t>
      </w:r>
      <w:proofErr w:type="gramStart"/>
      <w:r>
        <w:rPr>
          <w:sz w:val="22"/>
          <w:szCs w:val="22"/>
        </w:rPr>
        <w:t>mis-use</w:t>
      </w:r>
      <w:proofErr w:type="gramEnd"/>
      <w:r>
        <w:rPr>
          <w:sz w:val="22"/>
          <w:szCs w:val="22"/>
        </w:rPr>
        <w:t xml:space="preserve"> of XR devices, the SPID based approach in [14] can be considered similar to vehicular UEs; and the 2Rx UEs can report its capability through existing UE capability signaling of # of MIMO layers [15]. 2Rx XR wearable devices can also be declared and differentiated through 3GPP compliance testing via GCF/other certification organizations.</w:t>
      </w:r>
    </w:p>
    <w:p w14:paraId="07344846" w14:textId="77777777" w:rsidR="003A6E75" w:rsidRDefault="003A6E75">
      <w:pPr>
        <w:spacing w:line="276" w:lineRule="auto"/>
        <w:rPr>
          <w:sz w:val="22"/>
          <w:szCs w:val="22"/>
        </w:rPr>
      </w:pPr>
    </w:p>
    <w:p w14:paraId="7BC55FB8" w14:textId="77777777" w:rsidR="003A6E75" w:rsidRDefault="00000000">
      <w:pPr>
        <w:rPr>
          <w:rFonts w:ascii="Arial" w:eastAsia="Arial" w:hAnsi="Arial" w:cs="Arial"/>
          <w:b/>
          <w:color w:val="808080"/>
          <w:sz w:val="20"/>
          <w:szCs w:val="20"/>
        </w:rPr>
      </w:pPr>
      <w:r>
        <w:rPr>
          <w:b/>
          <w:sz w:val="20"/>
          <w:szCs w:val="20"/>
        </w:rPr>
        <w:t xml:space="preserve">Proposal 3:  To add the support of 2RX for FR1 high bands supporting high data rates XR type devices.  </w:t>
      </w:r>
    </w:p>
    <w:p w14:paraId="5DF6222F" w14:textId="77777777" w:rsidR="003A6E75" w:rsidRDefault="00000000">
      <w:pPr>
        <w:pStyle w:val="Heading1"/>
        <w:numPr>
          <w:ilvl w:val="0"/>
          <w:numId w:val="4"/>
        </w:numPr>
      </w:pPr>
      <w:bookmarkStart w:id="3" w:name="_heading=h.3znysh7" w:colFirst="0" w:colLast="0"/>
      <w:bookmarkEnd w:id="3"/>
      <w:r>
        <w:lastRenderedPageBreak/>
        <w:t>Conclusion</w:t>
      </w:r>
    </w:p>
    <w:p w14:paraId="468A4728" w14:textId="77777777" w:rsidR="003A6E75" w:rsidRDefault="00000000">
      <w:pPr>
        <w:rPr>
          <w:b/>
        </w:rPr>
      </w:pPr>
      <w:r>
        <w:rPr>
          <w:b/>
        </w:rPr>
        <w:t xml:space="preserve">Observation 1: Although wireless XR wearable devices, such as AR </w:t>
      </w:r>
      <w:proofErr w:type="gramStart"/>
      <w:r>
        <w:rPr>
          <w:b/>
        </w:rPr>
        <w:t>glasses,  are</w:t>
      </w:r>
      <w:proofErr w:type="gramEnd"/>
      <w:r>
        <w:rPr>
          <w:b/>
        </w:rPr>
        <w:t xml:space="preserve"> commercially compelling,  design constraints apply in terms of sleekness (formfactor), weight and power.</w:t>
      </w:r>
    </w:p>
    <w:p w14:paraId="41D89A74" w14:textId="77777777" w:rsidR="003A6E75" w:rsidRDefault="003A6E75">
      <w:pPr>
        <w:rPr>
          <w:b/>
        </w:rPr>
      </w:pPr>
    </w:p>
    <w:p w14:paraId="2DAA3493" w14:textId="77777777" w:rsidR="003A6E75" w:rsidRDefault="00000000">
      <w:pPr>
        <w:spacing w:after="180"/>
        <w:rPr>
          <w:b/>
        </w:rPr>
      </w:pPr>
      <w:r>
        <w:rPr>
          <w:b/>
        </w:rPr>
        <w:t xml:space="preserve">Proposal 1:  support PDCCH monitoring resume if UE transmits NACK after PDCCH skipping </w:t>
      </w:r>
      <w:proofErr w:type="gramStart"/>
      <w:r>
        <w:rPr>
          <w:b/>
        </w:rPr>
        <w:t>starts</w:t>
      </w:r>
      <w:proofErr w:type="gramEnd"/>
    </w:p>
    <w:p w14:paraId="75AFBC79" w14:textId="77777777" w:rsidR="003A6E75" w:rsidRDefault="00000000">
      <w:pPr>
        <w:rPr>
          <w:b/>
        </w:rPr>
      </w:pPr>
      <w:r>
        <w:rPr>
          <w:b/>
        </w:rPr>
        <w:t>Proposal 2:  Update the WID to include CG without retransmissions for uplink XR traffic (RAN2)</w:t>
      </w:r>
    </w:p>
    <w:p w14:paraId="71DE5C53" w14:textId="77777777" w:rsidR="003A6E75" w:rsidRDefault="00000000">
      <w:pPr>
        <w:spacing w:before="200"/>
        <w:rPr>
          <w:b/>
          <w:color w:val="808080"/>
        </w:rPr>
      </w:pPr>
      <w:r>
        <w:rPr>
          <w:b/>
        </w:rPr>
        <w:t xml:space="preserve">Proposal 3:  To add the support of 2RX for FR1 high bands supporting high data rates XR type devices.  </w:t>
      </w:r>
    </w:p>
    <w:p w14:paraId="7A88CB6B" w14:textId="77777777" w:rsidR="003A6E75" w:rsidRDefault="00000000">
      <w:pPr>
        <w:pStyle w:val="Heading1"/>
        <w:numPr>
          <w:ilvl w:val="0"/>
          <w:numId w:val="4"/>
        </w:numPr>
      </w:pPr>
      <w:bookmarkStart w:id="4" w:name="_heading=h.2et92p0" w:colFirst="0" w:colLast="0"/>
      <w:bookmarkEnd w:id="4"/>
      <w:r>
        <w:t>References</w:t>
      </w:r>
    </w:p>
    <w:p w14:paraId="6CF0BE08" w14:textId="77777777" w:rsidR="003A6E75" w:rsidRDefault="00000000">
      <w:pPr>
        <w:numPr>
          <w:ilvl w:val="0"/>
          <w:numId w:val="1"/>
        </w:numPr>
        <w:ind w:left="562" w:hanging="562"/>
        <w:rPr>
          <w:sz w:val="22"/>
          <w:szCs w:val="22"/>
        </w:rPr>
      </w:pPr>
      <w:r>
        <w:rPr>
          <w:color w:val="000000"/>
          <w:sz w:val="22"/>
          <w:szCs w:val="22"/>
        </w:rPr>
        <w:t xml:space="preserve">TR </w:t>
      </w:r>
      <w:proofErr w:type="gramStart"/>
      <w:r>
        <w:rPr>
          <w:color w:val="000000"/>
          <w:sz w:val="22"/>
          <w:szCs w:val="22"/>
        </w:rPr>
        <w:t>26.998  Support</w:t>
      </w:r>
      <w:proofErr w:type="gramEnd"/>
      <w:r>
        <w:rPr>
          <w:color w:val="000000"/>
          <w:sz w:val="22"/>
          <w:szCs w:val="22"/>
        </w:rPr>
        <w:t xml:space="preserve"> of 5G glass-type Augmented Reality / Mixed Reality (AR/MR) device, 3GPP</w:t>
      </w:r>
    </w:p>
    <w:p w14:paraId="6AB723FA" w14:textId="77777777" w:rsidR="003A6E75" w:rsidRDefault="00000000">
      <w:pPr>
        <w:numPr>
          <w:ilvl w:val="0"/>
          <w:numId w:val="1"/>
        </w:numPr>
        <w:ind w:left="562" w:hanging="562"/>
        <w:rPr>
          <w:sz w:val="22"/>
          <w:szCs w:val="22"/>
        </w:rPr>
      </w:pPr>
      <w:r>
        <w:rPr>
          <w:sz w:val="22"/>
          <w:szCs w:val="22"/>
        </w:rPr>
        <w:t xml:space="preserve">TR 26.928 Extend Reality (XR) in 5G, </w:t>
      </w:r>
      <w:proofErr w:type="gramStart"/>
      <w:r>
        <w:rPr>
          <w:sz w:val="22"/>
          <w:szCs w:val="22"/>
        </w:rPr>
        <w:t>3GPP</w:t>
      </w:r>
      <w:proofErr w:type="gramEnd"/>
    </w:p>
    <w:p w14:paraId="0EEC1D64" w14:textId="77777777" w:rsidR="003A6E75" w:rsidRDefault="00000000">
      <w:pPr>
        <w:numPr>
          <w:ilvl w:val="0"/>
          <w:numId w:val="1"/>
        </w:numPr>
        <w:pBdr>
          <w:top w:val="nil"/>
          <w:left w:val="nil"/>
          <w:bottom w:val="nil"/>
          <w:right w:val="nil"/>
          <w:between w:val="nil"/>
        </w:pBdr>
        <w:rPr>
          <w:color w:val="000000"/>
          <w:sz w:val="22"/>
          <w:szCs w:val="22"/>
        </w:rPr>
      </w:pPr>
      <w:r>
        <w:rPr>
          <w:color w:val="000000"/>
          <w:sz w:val="22"/>
          <w:szCs w:val="22"/>
        </w:rPr>
        <w:t>SP-220705, SA2 Revised SID on Study on XR (Extended Reality) and media services, June 2022</w:t>
      </w:r>
    </w:p>
    <w:p w14:paraId="13304A91" w14:textId="77777777" w:rsidR="003A6E75" w:rsidRDefault="00000000">
      <w:pPr>
        <w:numPr>
          <w:ilvl w:val="0"/>
          <w:numId w:val="1"/>
        </w:numPr>
        <w:pBdr>
          <w:top w:val="nil"/>
          <w:left w:val="nil"/>
          <w:bottom w:val="nil"/>
          <w:right w:val="nil"/>
          <w:between w:val="nil"/>
        </w:pBdr>
        <w:rPr>
          <w:color w:val="000000"/>
          <w:sz w:val="22"/>
          <w:szCs w:val="22"/>
        </w:rPr>
      </w:pPr>
      <w:r>
        <w:rPr>
          <w:color w:val="000000"/>
          <w:sz w:val="22"/>
          <w:szCs w:val="22"/>
        </w:rPr>
        <w:t>RP-220285, RAN Revised SID on Study on XR Enhancements for NR, March 2022.</w:t>
      </w:r>
    </w:p>
    <w:p w14:paraId="3EA949DC" w14:textId="77777777" w:rsidR="003A6E75" w:rsidRDefault="00000000">
      <w:pPr>
        <w:numPr>
          <w:ilvl w:val="0"/>
          <w:numId w:val="1"/>
        </w:numPr>
        <w:pBdr>
          <w:top w:val="nil"/>
          <w:left w:val="nil"/>
          <w:bottom w:val="nil"/>
          <w:right w:val="nil"/>
          <w:between w:val="nil"/>
        </w:pBdr>
        <w:spacing w:after="60"/>
        <w:rPr>
          <w:color w:val="000000"/>
          <w:sz w:val="22"/>
          <w:szCs w:val="22"/>
        </w:rPr>
      </w:pPr>
      <w:r>
        <w:rPr>
          <w:color w:val="000000"/>
          <w:sz w:val="22"/>
          <w:szCs w:val="22"/>
        </w:rPr>
        <w:t>SP-221134, “New WID: Architecture Enhancements for XR and media services”, SA2</w:t>
      </w:r>
    </w:p>
    <w:p w14:paraId="7F8344B3" w14:textId="77777777" w:rsidR="003A6E75" w:rsidRDefault="00000000">
      <w:pPr>
        <w:numPr>
          <w:ilvl w:val="0"/>
          <w:numId w:val="1"/>
        </w:numPr>
        <w:pBdr>
          <w:top w:val="nil"/>
          <w:left w:val="nil"/>
          <w:bottom w:val="nil"/>
          <w:right w:val="nil"/>
          <w:between w:val="nil"/>
        </w:pBdr>
        <w:spacing w:after="60"/>
        <w:jc w:val="both"/>
        <w:rPr>
          <w:color w:val="000000"/>
          <w:sz w:val="22"/>
          <w:szCs w:val="22"/>
        </w:rPr>
      </w:pPr>
      <w:bookmarkStart w:id="5" w:name="_heading=h.3dy6vkm" w:colFirst="0" w:colLast="0"/>
      <w:bookmarkEnd w:id="5"/>
      <w:r>
        <w:rPr>
          <w:color w:val="000000"/>
          <w:sz w:val="22"/>
          <w:szCs w:val="22"/>
        </w:rPr>
        <w:t>3GPP TR 23.700-60 V1.3.0 (2022-11)</w:t>
      </w:r>
    </w:p>
    <w:bookmarkStart w:id="6" w:name="_heading=h.ejyyq9rli82d" w:colFirst="0" w:colLast="0"/>
    <w:bookmarkEnd w:id="6"/>
    <w:p w14:paraId="69EF87AD" w14:textId="77777777" w:rsidR="003A6E75" w:rsidRDefault="00000000">
      <w:pPr>
        <w:numPr>
          <w:ilvl w:val="0"/>
          <w:numId w:val="1"/>
        </w:numPr>
        <w:pBdr>
          <w:top w:val="nil"/>
          <w:left w:val="nil"/>
          <w:bottom w:val="nil"/>
          <w:right w:val="nil"/>
          <w:between w:val="nil"/>
        </w:pBdr>
        <w:spacing w:after="60"/>
        <w:jc w:val="both"/>
        <w:rPr>
          <w:color w:val="000000"/>
          <w:sz w:val="22"/>
          <w:szCs w:val="22"/>
        </w:rPr>
      </w:pPr>
      <w:r>
        <w:fldChar w:fldCharType="begin"/>
      </w:r>
      <w:r>
        <w:instrText>HYPERLINK "https://www.3gpp.org/ftp/TSG_RAN/WG2_RL2/TSGR2_121/Docs/R2-2300118.zip" \h</w:instrText>
      </w:r>
      <w:r>
        <w:fldChar w:fldCharType="separate"/>
      </w:r>
      <w:r>
        <w:rPr>
          <w:color w:val="0000FF"/>
          <w:sz w:val="22"/>
          <w:szCs w:val="22"/>
          <w:u w:val="single"/>
        </w:rPr>
        <w:t>R2-2300118</w:t>
      </w:r>
      <w:r>
        <w:rPr>
          <w:color w:val="0000FF"/>
          <w:sz w:val="22"/>
          <w:szCs w:val="22"/>
          <w:u w:val="single"/>
        </w:rPr>
        <w:fldChar w:fldCharType="end"/>
      </w:r>
      <w:r>
        <w:rPr>
          <w:sz w:val="22"/>
          <w:szCs w:val="22"/>
        </w:rPr>
        <w:t xml:space="preserve">   Discussion on XR power saving</w:t>
      </w:r>
      <w:r>
        <w:rPr>
          <w:sz w:val="22"/>
          <w:szCs w:val="22"/>
        </w:rPr>
        <w:tab/>
        <w:t xml:space="preserve">Huawei, </w:t>
      </w:r>
      <w:proofErr w:type="spellStart"/>
      <w:r>
        <w:rPr>
          <w:sz w:val="22"/>
          <w:szCs w:val="22"/>
        </w:rPr>
        <w:t>HiSilicon</w:t>
      </w:r>
      <w:proofErr w:type="spellEnd"/>
      <w:r>
        <w:rPr>
          <w:sz w:val="22"/>
          <w:szCs w:val="22"/>
        </w:rPr>
        <w:t xml:space="preserve">      </w:t>
      </w:r>
      <w:r>
        <w:rPr>
          <w:sz w:val="22"/>
          <w:szCs w:val="22"/>
        </w:rPr>
        <w:tab/>
        <w:t xml:space="preserve">discussion    </w:t>
      </w:r>
      <w:r>
        <w:rPr>
          <w:sz w:val="22"/>
          <w:szCs w:val="22"/>
        </w:rPr>
        <w:tab/>
        <w:t>Rel-</w:t>
      </w:r>
      <w:proofErr w:type="gramStart"/>
      <w:r>
        <w:rPr>
          <w:sz w:val="22"/>
          <w:szCs w:val="22"/>
        </w:rPr>
        <w:t xml:space="preserve">18  </w:t>
      </w:r>
      <w:proofErr w:type="spellStart"/>
      <w:r>
        <w:rPr>
          <w:sz w:val="22"/>
          <w:szCs w:val="22"/>
        </w:rPr>
        <w:t>NR</w:t>
      </w:r>
      <w:proofErr w:type="gramEnd"/>
      <w:r>
        <w:rPr>
          <w:sz w:val="22"/>
          <w:szCs w:val="22"/>
        </w:rPr>
        <w:t>_XR_enh</w:t>
      </w:r>
      <w:proofErr w:type="spellEnd"/>
    </w:p>
    <w:p w14:paraId="2534F368" w14:textId="77777777" w:rsidR="003A6E75" w:rsidRDefault="00000000">
      <w:pPr>
        <w:numPr>
          <w:ilvl w:val="0"/>
          <w:numId w:val="1"/>
        </w:numPr>
        <w:pBdr>
          <w:top w:val="nil"/>
          <w:left w:val="nil"/>
          <w:bottom w:val="nil"/>
          <w:right w:val="nil"/>
          <w:between w:val="nil"/>
        </w:pBdr>
        <w:spacing w:after="60"/>
        <w:jc w:val="both"/>
        <w:rPr>
          <w:color w:val="000000"/>
          <w:sz w:val="22"/>
          <w:szCs w:val="22"/>
        </w:rPr>
      </w:pPr>
      <w:bookmarkStart w:id="7" w:name="_heading=h.24gj46b5veb3" w:colFirst="0" w:colLast="0"/>
      <w:bookmarkEnd w:id="7"/>
      <w:r>
        <w:rPr>
          <w:sz w:val="22"/>
          <w:szCs w:val="22"/>
        </w:rPr>
        <w:t>RP-223493, “Summary and Way Forward on XR [98e-07-R18-XR]”, Nokia, RAN#98-e.</w:t>
      </w:r>
    </w:p>
    <w:p w14:paraId="7B6AA469" w14:textId="77777777" w:rsidR="003A6E75" w:rsidRDefault="00000000">
      <w:pPr>
        <w:numPr>
          <w:ilvl w:val="0"/>
          <w:numId w:val="1"/>
        </w:numPr>
        <w:rPr>
          <w:sz w:val="22"/>
          <w:szCs w:val="22"/>
        </w:rPr>
      </w:pPr>
      <w:r>
        <w:rPr>
          <w:color w:val="0000FF"/>
          <w:sz w:val="22"/>
          <w:szCs w:val="22"/>
        </w:rPr>
        <w:t>RP-223208</w:t>
      </w:r>
      <w:r>
        <w:rPr>
          <w:sz w:val="22"/>
          <w:szCs w:val="22"/>
        </w:rPr>
        <w:t xml:space="preserve"> Way forward on the support of 2Rx for XR device for Rel-18 XR WI</w:t>
      </w:r>
      <w:r>
        <w:rPr>
          <w:sz w:val="22"/>
          <w:szCs w:val="22"/>
        </w:rPr>
        <w:tab/>
        <w:t>Apple, ABS, APT, ASR, CATT, FGI, Google, HONOR, Lenovo, Meta, New H3C, Qualcomm, Samsung, Tencent, Verizon, vivo,</w:t>
      </w:r>
    </w:p>
    <w:p w14:paraId="453242DC" w14:textId="77777777" w:rsidR="003A6E75" w:rsidRDefault="00000000">
      <w:pPr>
        <w:numPr>
          <w:ilvl w:val="0"/>
          <w:numId w:val="1"/>
        </w:numPr>
        <w:rPr>
          <w:sz w:val="22"/>
          <w:szCs w:val="22"/>
        </w:rPr>
      </w:pPr>
      <w:r>
        <w:rPr>
          <w:color w:val="0000FF"/>
          <w:sz w:val="22"/>
          <w:szCs w:val="22"/>
        </w:rPr>
        <w:t>RP-222920</w:t>
      </w:r>
      <w:r>
        <w:rPr>
          <w:sz w:val="22"/>
          <w:szCs w:val="22"/>
        </w:rPr>
        <w:t xml:space="preserve"> Views on support of XR with 2Rx</w:t>
      </w:r>
      <w:r>
        <w:rPr>
          <w:sz w:val="22"/>
          <w:szCs w:val="22"/>
        </w:rPr>
        <w:tab/>
      </w:r>
      <w:r>
        <w:rPr>
          <w:i/>
          <w:sz w:val="22"/>
          <w:szCs w:val="22"/>
        </w:rPr>
        <w:t>Qualcomm Incorporated</w:t>
      </w:r>
    </w:p>
    <w:p w14:paraId="343BCF5C" w14:textId="77777777" w:rsidR="003A6E75" w:rsidRDefault="00000000">
      <w:pPr>
        <w:numPr>
          <w:ilvl w:val="0"/>
          <w:numId w:val="1"/>
        </w:numPr>
        <w:rPr>
          <w:sz w:val="22"/>
          <w:szCs w:val="22"/>
        </w:rPr>
      </w:pPr>
      <w:r>
        <w:rPr>
          <w:color w:val="0000FF"/>
          <w:sz w:val="22"/>
          <w:szCs w:val="22"/>
        </w:rPr>
        <w:t>RP-223243</w:t>
      </w:r>
      <w:r>
        <w:rPr>
          <w:sz w:val="22"/>
          <w:szCs w:val="22"/>
        </w:rPr>
        <w:t xml:space="preserve"> On 4Rx to 2Rx relaxation for XR devices</w:t>
      </w:r>
      <w:r>
        <w:rPr>
          <w:sz w:val="22"/>
          <w:szCs w:val="22"/>
        </w:rPr>
        <w:tab/>
      </w:r>
      <w:r>
        <w:rPr>
          <w:i/>
          <w:sz w:val="22"/>
          <w:szCs w:val="22"/>
        </w:rPr>
        <w:t>MediaTek Inc.</w:t>
      </w:r>
    </w:p>
    <w:p w14:paraId="758EC34D" w14:textId="77777777" w:rsidR="003A6E75" w:rsidRDefault="00000000">
      <w:pPr>
        <w:numPr>
          <w:ilvl w:val="0"/>
          <w:numId w:val="1"/>
        </w:numPr>
        <w:rPr>
          <w:sz w:val="22"/>
          <w:szCs w:val="22"/>
        </w:rPr>
      </w:pPr>
      <w:r>
        <w:rPr>
          <w:color w:val="0000FF"/>
          <w:sz w:val="22"/>
          <w:szCs w:val="22"/>
        </w:rPr>
        <w:t>RP-222999</w:t>
      </w:r>
      <w:r>
        <w:rPr>
          <w:sz w:val="22"/>
          <w:szCs w:val="22"/>
        </w:rPr>
        <w:t xml:space="preserve"> Views on Rel. 18 XR Enhancements</w:t>
      </w:r>
      <w:r>
        <w:rPr>
          <w:sz w:val="22"/>
          <w:szCs w:val="22"/>
        </w:rPr>
        <w:tab/>
      </w:r>
      <w:r>
        <w:rPr>
          <w:i/>
          <w:sz w:val="22"/>
          <w:szCs w:val="22"/>
        </w:rPr>
        <w:t>Meta USA</w:t>
      </w:r>
    </w:p>
    <w:p w14:paraId="00E75ABC" w14:textId="77777777" w:rsidR="003A6E75" w:rsidRDefault="00000000">
      <w:pPr>
        <w:numPr>
          <w:ilvl w:val="0"/>
          <w:numId w:val="1"/>
        </w:numPr>
        <w:rPr>
          <w:sz w:val="22"/>
          <w:szCs w:val="22"/>
        </w:rPr>
      </w:pPr>
      <w:r>
        <w:rPr>
          <w:sz w:val="22"/>
          <w:szCs w:val="22"/>
        </w:rPr>
        <w:t>TR 38.838, Study on XR (Extended Reality) evaluations for NR, 3GPP</w:t>
      </w:r>
    </w:p>
    <w:p w14:paraId="46909837" w14:textId="77777777" w:rsidR="003A6E75" w:rsidRDefault="00000000">
      <w:pPr>
        <w:numPr>
          <w:ilvl w:val="0"/>
          <w:numId w:val="1"/>
        </w:numPr>
        <w:rPr>
          <w:sz w:val="22"/>
          <w:szCs w:val="22"/>
        </w:rPr>
      </w:pPr>
      <w:r>
        <w:rPr>
          <w:sz w:val="22"/>
          <w:szCs w:val="22"/>
        </w:rPr>
        <w:t xml:space="preserve">TS38.300, </w:t>
      </w:r>
      <w:proofErr w:type="gramStart"/>
      <w:r>
        <w:rPr>
          <w:sz w:val="22"/>
          <w:szCs w:val="22"/>
        </w:rPr>
        <w:t>NR</w:t>
      </w:r>
      <w:proofErr w:type="gramEnd"/>
      <w:r>
        <w:rPr>
          <w:sz w:val="22"/>
          <w:szCs w:val="22"/>
        </w:rPr>
        <w:t xml:space="preserve"> and NG-RAN Overall description, 3GPP</w:t>
      </w:r>
    </w:p>
    <w:p w14:paraId="342C5F7B" w14:textId="77777777" w:rsidR="003A6E75" w:rsidRDefault="00000000">
      <w:pPr>
        <w:numPr>
          <w:ilvl w:val="0"/>
          <w:numId w:val="1"/>
        </w:numPr>
        <w:rPr>
          <w:sz w:val="22"/>
          <w:szCs w:val="22"/>
        </w:rPr>
      </w:pPr>
      <w:r>
        <w:rPr>
          <w:sz w:val="22"/>
          <w:szCs w:val="22"/>
        </w:rPr>
        <w:t>TS38.306, User Equipment (UE) radio access capabilities, 3GPP</w:t>
      </w:r>
    </w:p>
    <w:p w14:paraId="2557CD66" w14:textId="77777777" w:rsidR="003A6E75" w:rsidRDefault="003A6E75">
      <w:pPr>
        <w:spacing w:after="60"/>
        <w:rPr>
          <w:rFonts w:ascii="Arial" w:eastAsia="Arial" w:hAnsi="Arial" w:cs="Arial"/>
          <w:b/>
          <w:color w:val="000000"/>
          <w:sz w:val="20"/>
          <w:szCs w:val="20"/>
        </w:rPr>
      </w:pPr>
    </w:p>
    <w:sectPr w:rsidR="003A6E7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9466E"/>
    <w:multiLevelType w:val="multilevel"/>
    <w:tmpl w:val="6DA4CE2A"/>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40F5870"/>
    <w:multiLevelType w:val="multilevel"/>
    <w:tmpl w:val="36F8216A"/>
    <w:lvl w:ilvl="0">
      <w:start w:val="2"/>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6CF710E0"/>
    <w:multiLevelType w:val="multilevel"/>
    <w:tmpl w:val="3006C8CA"/>
    <w:lvl w:ilvl="0">
      <w:start w:val="1"/>
      <w:numFmt w:val="decimal"/>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6D0B7DAF"/>
    <w:multiLevelType w:val="multilevel"/>
    <w:tmpl w:val="C9F8B89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987593784">
    <w:abstractNumId w:val="2"/>
  </w:num>
  <w:num w:numId="2" w16cid:durableId="1924757720">
    <w:abstractNumId w:val="0"/>
  </w:num>
  <w:num w:numId="3" w16cid:durableId="680158990">
    <w:abstractNumId w:val="3"/>
  </w:num>
  <w:num w:numId="4" w16cid:durableId="2064520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E75"/>
    <w:rsid w:val="002B5E93"/>
    <w:rsid w:val="003A6E75"/>
    <w:rsid w:val="006F1767"/>
    <w:rsid w:val="00D01A0B"/>
    <w:rsid w:val="00EA1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596952"/>
  <w15:docId w15:val="{41ADB0EB-56EC-3141-852A-5C2288BCB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7D8"/>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ListParagraph">
    <w:name w:val="List Paragraph"/>
    <w:basedOn w:val="Normal"/>
    <w:uiPriority w:val="34"/>
    <w:qFormat/>
    <w:rsid w:val="003450B5"/>
    <w:pPr>
      <w:ind w:left="720"/>
      <w:contextualSpacing/>
    </w:pPr>
  </w:style>
  <w:style w:type="character" w:styleId="Hyperlink">
    <w:name w:val="Hyperlink"/>
    <w:basedOn w:val="DefaultParagraphFont"/>
    <w:uiPriority w:val="99"/>
    <w:semiHidden/>
    <w:unhideWhenUsed/>
    <w:rsid w:val="00B7505A"/>
    <w:rPr>
      <w:color w:val="0000FF"/>
      <w:u w:val="single"/>
    </w:rPr>
  </w:style>
  <w:style w:type="paragraph" w:customStyle="1" w:styleId="References">
    <w:name w:val="References"/>
    <w:basedOn w:val="Normal"/>
    <w:rsid w:val="007767BB"/>
    <w:pPr>
      <w:autoSpaceDE w:val="0"/>
      <w:autoSpaceDN w:val="0"/>
      <w:snapToGrid w:val="0"/>
      <w:spacing w:after="60"/>
      <w:jc w:val="both"/>
    </w:pPr>
    <w:rPr>
      <w:rFonts w:eastAsia="SimSun"/>
      <w:sz w:val="20"/>
      <w:szCs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D17D8"/>
    <w:pPr>
      <w:widowControl w:val="0"/>
    </w:pPr>
    <w:rPr>
      <w:rFonts w:eastAsia="PMingLiU"/>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D17D8"/>
    <w:rPr>
      <w:rFonts w:eastAsia="PMingLiU" w:cs="Times New Roman"/>
      <w:b/>
      <w:noProof/>
      <w:sz w:val="18"/>
      <w:szCs w:val="20"/>
      <w:lang w:val="en-GB"/>
    </w:rPr>
  </w:style>
  <w:style w:type="table" w:styleId="TableGrid">
    <w:name w:val="Table Grid"/>
    <w:basedOn w:val="TableNormal"/>
    <w:uiPriority w:val="39"/>
    <w:rsid w:val="004B05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rsid w:val="004B050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4B0503"/>
    <w:rPr>
      <w:rFonts w:ascii="Times New Roman" w:eastAsia="Times New Roman" w:hAnsi="Times New Roman" w:cs="Times New Roman"/>
      <w:sz w:val="20"/>
      <w:szCs w:val="20"/>
      <w:lang w:val="en-GB" w:eastAsia="en-GB"/>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EW2KDcFD9aICQ1KB8IBe3iTC1AQ==">AMUW2mXMKB4BRo28RgNRtk+rHqrHYEsFSV6d8hbghyucP88za7WEkVVqm6Oh1kUhxZny5N9u1/42FGSpE9a7IAVJotE6P3jfA5HCDBTBI8qNL9/oUH+GC3FiiQJjdAzdFHyhknZfjdn43EQ0wCzsdTe7dyvtyxnypbjLTq6qQXn1FLpSL68+jmeQ/VLMym3UoGah9MPgdds1e2x/7b5CvrQcFj1mrMkt5SCWOwDZnoWUxH4Pm3Rhn3A=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1238</Words>
  <Characters>7060</Characters>
  <Application>Microsoft Office Word</Application>
  <DocSecurity>0</DocSecurity>
  <Lines>58</Lines>
  <Paragraphs>16</Paragraphs>
  <ScaleCrop>false</ScaleCrop>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2</cp:revision>
  <dcterms:created xsi:type="dcterms:W3CDTF">2023-03-13T20:32:00Z</dcterms:created>
  <dcterms:modified xsi:type="dcterms:W3CDTF">2023-03-13T20:32:00Z</dcterms:modified>
</cp:coreProperties>
</file>